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Umowa</w:t>
      </w:r>
      <w:r>
        <w:t xml:space="preserve"> </w:t>
      </w:r>
      <w:r>
        <w:t xml:space="preserve">powierzenia</w:t>
      </w:r>
      <w:r>
        <w:t xml:space="preserve"> </w:t>
      </w:r>
      <w:r>
        <w:t xml:space="preserve">przetwarzania</w:t>
      </w:r>
      <w:r>
        <w:t xml:space="preserve"> </w:t>
      </w:r>
      <w:r>
        <w:t xml:space="preserve">danych</w:t>
      </w:r>
      <w:r>
        <w:t xml:space="preserve"> </w:t>
      </w:r>
      <w:r>
        <w:t xml:space="preserve">osobowych</w:t>
      </w:r>
      <w:r>
        <w:t xml:space="preserve"> </w:t>
      </w:r>
      <w:r>
        <w:t xml:space="preserve">(DPA)</w:t>
      </w:r>
    </w:p>
    <w:p>
      <w:pPr>
        <w:pStyle w:val="FirstParagraph"/>
      </w:pPr>
      <w:r>
        <w:t xml:space="preserve">Załącznik nr 1 do Regulaminu świadczenia usług SkillCheck · Wersja 1.0 · obowiązuje od 29.10.2026</w:t>
      </w:r>
    </w:p>
    <w:bookmarkStart w:id="20" w:name="strony-i-zawarcie"/>
    <w:p>
      <w:pPr>
        <w:pStyle w:val="Heading1"/>
      </w:pPr>
      <w:r>
        <w:t xml:space="preserve">§ 1. Strony i zawarcie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Administrator</w:t>
      </w:r>
      <w:r>
        <w:t xml:space="preserve"> </w:t>
      </w:r>
      <w:r>
        <w:t xml:space="preserve">– Klient, którego dane zostały podane w Koncie SkillCheck.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Podmiot przetwarzający</w:t>
      </w:r>
      <w:r>
        <w:t xml:space="preserve"> </w:t>
      </w:r>
      <w:r>
        <w:t xml:space="preserve">– KTIG CONSULTING spółka z ograniczoną odpowiedzialnością, ul. Michała Kajki 10–12, 10-547 Olsztyn, KRS 0001110252, NIP 7394002294, REGON 528903093; kontakt w sprawach danych i incydentów: pomoc@skillcheck.pl, tel. +48 730 266 909.</w:t>
      </w:r>
    </w:p>
    <w:p>
      <w:pPr>
        <w:numPr>
          <w:ilvl w:val="0"/>
          <w:numId w:val="1001"/>
        </w:numPr>
        <w:pStyle w:val="Compact"/>
      </w:pPr>
      <w:r>
        <w:t xml:space="preserve">Umowa zostaje zawarta w formie elektronicznej z chwilą akceptacji Regulaminu przez osobę upoważnioną do działania w imieniu Administratora i obowiązuje przez czas świadczenia usług SkillCheck oraz do czasu usunięcia lub zwrotu danych zgodnie z § 7. Data, wersja dokumentu i osoba akceptująca są zapisywane w Koncie.</w:t>
      </w:r>
    </w:p>
    <w:p>
      <w:pPr>
        <w:numPr>
          <w:ilvl w:val="0"/>
          <w:numId w:val="1001"/>
        </w:numPr>
        <w:pStyle w:val="Compact"/>
      </w:pPr>
      <w:r>
        <w:t xml:space="preserve">Umowa wykonuje art. 28 ust. 3 RODO. W sprawach danych osobowych ma pierwszeństwo przed Regulaminem.</w:t>
      </w:r>
    </w:p>
    <w:bookmarkEnd w:id="20"/>
    <w:bookmarkStart w:id="21" w:name="przedmiot-cel-i-charakter-przetwarzania"/>
    <w:p>
      <w:pPr>
        <w:pStyle w:val="Heading1"/>
      </w:pPr>
      <w:r>
        <w:t xml:space="preserve">§ 2. Przedmiot, cel i charakter przetwarzania</w:t>
      </w:r>
    </w:p>
    <w:p>
      <w:pPr>
        <w:numPr>
          <w:ilvl w:val="0"/>
          <w:numId w:val="1002"/>
        </w:numPr>
        <w:pStyle w:val="Compact"/>
      </w:pPr>
      <w:r>
        <w:t xml:space="preserve">Administrator powierza Podmiotowi przetwarzającemu dane osobowe opisane w § 9 wyłącznie w celu świadczenia usług SkillCheck: przyjęcia i przekształcenia CV do tekstu, redakcji danych, powiązania z rekrutacją i stanowiskiem, analizy AI zgodności z wymaganiami, przeglądu przez człowieka, przygotowania shortlisty i raportu, eksportu oraz usuwania danych.</w:t>
      </w:r>
    </w:p>
    <w:p>
      <w:pPr>
        <w:numPr>
          <w:ilvl w:val="0"/>
          <w:numId w:val="1002"/>
        </w:numPr>
        <w:pStyle w:val="Compact"/>
      </w:pPr>
      <w:r>
        <w:t xml:space="preserve">Przetwarzanie odbywa się w sposób zautomatyzowany w systemach informatycznych. Pliki CV są przekształcane do tekstu; oryginalny plik nie jest przechowywany.</w:t>
      </w:r>
    </w:p>
    <w:bookmarkEnd w:id="21"/>
    <w:bookmarkStart w:id="22" w:name="obowiązki-podmiotu-przetwarzającego"/>
    <w:p>
      <w:pPr>
        <w:pStyle w:val="Heading1"/>
      </w:pPr>
      <w:r>
        <w:t xml:space="preserve">§ 3. Obowiązki Podmiotu przetwarzającego</w:t>
      </w:r>
    </w:p>
    <w:p>
      <w:pPr>
        <w:numPr>
          <w:ilvl w:val="0"/>
          <w:numId w:val="1003"/>
        </w:numPr>
        <w:pStyle w:val="Compact"/>
      </w:pPr>
      <w:r>
        <w:t xml:space="preserve">Podmiot przetwarzający przetwarza dane wyłącznie na udokumentowane polecenie Administratora; poleceniem są w szczególności czynności Użytkowników wykonywane w Koncie. Jeżeli obowiązek przetwarzania wynika z prawa, Podmiot przetwarzający informuje o tym Administratora przed rozpoczęciem przetwarzania, o ile prawo tego nie zabrania.</w:t>
      </w:r>
    </w:p>
    <w:p>
      <w:pPr>
        <w:numPr>
          <w:ilvl w:val="0"/>
          <w:numId w:val="1003"/>
        </w:numPr>
        <w:pStyle w:val="Compact"/>
      </w:pPr>
      <w:r>
        <w:t xml:space="preserve">Podmiot przetwarzający niezwłocznie informuje Administratora, jeżeli jego zdaniem polecenie narusza RODO lub inne przepisy.</w:t>
      </w:r>
    </w:p>
    <w:p>
      <w:pPr>
        <w:numPr>
          <w:ilvl w:val="0"/>
          <w:numId w:val="1003"/>
        </w:numPr>
        <w:pStyle w:val="Compact"/>
      </w:pPr>
      <w:r>
        <w:t xml:space="preserve">Dostęp do danych mają wyłącznie osoby upoważnione, zobowiązane do zachowania poufności, w zakresie niezbędnym do wykonania usługi.</w:t>
      </w:r>
    </w:p>
    <w:p>
      <w:pPr>
        <w:numPr>
          <w:ilvl w:val="0"/>
          <w:numId w:val="1003"/>
        </w:numPr>
        <w:pStyle w:val="Compact"/>
      </w:pPr>
      <w:r>
        <w:t xml:space="preserve">Podmiot przetwarzający nie wykorzystuje danych do własnych celów, w tym do trenowania modeli AI.</w:t>
      </w:r>
    </w:p>
    <w:bookmarkEnd w:id="22"/>
    <w:bookmarkStart w:id="23" w:name="bezpieczeństwo-art.-32-rodo"/>
    <w:p>
      <w:pPr>
        <w:pStyle w:val="Heading1"/>
      </w:pPr>
      <w:r>
        <w:t xml:space="preserve">§ 4. Bezpieczeństwo (art. 32 RODO)</w:t>
      </w:r>
    </w:p>
    <w:p>
      <w:pPr>
        <w:pStyle w:val="FirstParagraph"/>
      </w:pPr>
      <w:r>
        <w:t xml:space="preserve">Podmiot przetwarzający stosuje w szczególności: uwierzytelnianie Użytkowników i role z minimalnymi uprawnieniami, rozdzielenie danych Klientów na poziomie bazy danych (Row Level Security), szyfrowanie transmisji (TLS) i danych w bazie, kontrolę dostępu do sekretów, redakcję danych zatwierdzaną przez człowieka przed analizą AI, rejestrowanie operacji, kopie zapasowe oraz procedurę obsługi incydentów.</w:t>
      </w:r>
    </w:p>
    <w:bookmarkEnd w:id="23"/>
    <w:bookmarkStart w:id="24" w:name="dalsze-powierzenie"/>
    <w:p>
      <w:pPr>
        <w:pStyle w:val="Heading1"/>
      </w:pPr>
      <w:r>
        <w:t xml:space="preserve">§ 5. Dalsze powierzenie</w:t>
      </w:r>
    </w:p>
    <w:p>
      <w:pPr>
        <w:numPr>
          <w:ilvl w:val="0"/>
          <w:numId w:val="1004"/>
        </w:numPr>
        <w:pStyle w:val="Compact"/>
      </w:pPr>
      <w:r>
        <w:t xml:space="preserve">Administrator udziela ogólnej zgody na korzystanie z dalszych podmiotów przetwarzających wymienionych w § 10.</w:t>
      </w:r>
    </w:p>
    <w:p>
      <w:pPr>
        <w:numPr>
          <w:ilvl w:val="0"/>
          <w:numId w:val="1004"/>
        </w:numPr>
        <w:pStyle w:val="Compact"/>
      </w:pPr>
      <w:r>
        <w:t xml:space="preserve">O zamiarze dodania lub zmiany dalszego podmiotu przetwarzającego Podmiot przetwarzający informuje Administratora e-mailem co najmniej 14 dni wcześniej. Administrator może w tym terminie zgłosić uzasadniony sprzeciw; w razie braku porozumienia Administrator może rozwiązać umowę ze skutkiem natychmiastowym i otrzymać zwrot proporcjonalnej części opłaty za niewykorzystane Analizy.</w:t>
      </w:r>
    </w:p>
    <w:p>
      <w:pPr>
        <w:numPr>
          <w:ilvl w:val="0"/>
          <w:numId w:val="1004"/>
        </w:numPr>
        <w:pStyle w:val="Compact"/>
      </w:pPr>
      <w:r>
        <w:t xml:space="preserve">Dalszy podmiot przetwarzający jest związany obowiązkami odpowiadającymi tej umowie. Podmiot przetwarzający odpowiada za jego działania jak za własne.</w:t>
      </w:r>
    </w:p>
    <w:p>
      <w:pPr>
        <w:numPr>
          <w:ilvl w:val="0"/>
          <w:numId w:val="1004"/>
        </w:numPr>
        <w:pStyle w:val="Compact"/>
      </w:pPr>
      <w:r>
        <w:t xml:space="preserve">Przekazanie danych poza EOG następuje wyłącznie przy zastosowaniu mechanizmów z rozdziału V RODO (decyzja stwierdzająca odpowiedni stopień ochrony lub standardowe klauzule umowne).</w:t>
      </w:r>
    </w:p>
    <w:bookmarkEnd w:id="24"/>
    <w:bookmarkStart w:id="25" w:name="pomoc-administratorowi-incydenty-i-audyt"/>
    <w:p>
      <w:pPr>
        <w:pStyle w:val="Heading1"/>
      </w:pPr>
      <w:r>
        <w:t xml:space="preserve">§ 6. Pomoc Administratorowi, incydenty i audyt</w:t>
      </w:r>
    </w:p>
    <w:p>
      <w:pPr>
        <w:numPr>
          <w:ilvl w:val="0"/>
          <w:numId w:val="1005"/>
        </w:numPr>
        <w:pStyle w:val="Compact"/>
      </w:pPr>
      <w:r>
        <w:t xml:space="preserve">Podmiot przetwarzający pomaga Administratorowi w realizacji praw osób, których dane dotyczą. Żądanie otrzymane bezpośrednio od Kandydata przekazuje Administratorowi bez zbędnej zwłoki, nie później niż w ciągu 3 dni roboczych.</w:t>
      </w:r>
    </w:p>
    <w:p>
      <w:pPr>
        <w:numPr>
          <w:ilvl w:val="0"/>
          <w:numId w:val="1005"/>
        </w:numPr>
        <w:pStyle w:val="Compact"/>
      </w:pPr>
      <w:r>
        <w:t xml:space="preserve">Podmiot przetwarzający zgłasza Administratorowi naruszenie ochrony powierzonych danych bez zbędnej zwłoki, nie później niż w ciągu 48 godzin od jego stwierdzenia, przekazując informacje wymagane w art. 33 ust. 3 RODO w zakresie, w jakim są dostępne.</w:t>
      </w:r>
    </w:p>
    <w:p>
      <w:pPr>
        <w:numPr>
          <w:ilvl w:val="0"/>
          <w:numId w:val="1005"/>
        </w:numPr>
        <w:pStyle w:val="Compact"/>
      </w:pPr>
      <w:r>
        <w:t xml:space="preserve">Podmiot przetwarzający pomaga Administratorowi w ocenie skutków dla ochrony danych (DPIA) i konsultacjach z organem nadzorczym w zakresie dotyczącym usługi.</w:t>
      </w:r>
    </w:p>
    <w:p>
      <w:pPr>
        <w:numPr>
          <w:ilvl w:val="0"/>
          <w:numId w:val="1005"/>
        </w:numPr>
        <w:pStyle w:val="Compact"/>
      </w:pPr>
      <w:r>
        <w:t xml:space="preserve">Podmiot przetwarzający udostępnia informacje niezbędne do wykazania zgodności z art. 28 RODO i umożliwia audyt po uprzednim zgłoszeniu z co najmniej 14-dniowym wyprzedzeniem, nie częściej niż raz w roku (chyba że audyt jest następstwem naruszenia), w sposób niezagrażający danym innych Klientów. Koszty audytu ponosi Administrator.</w:t>
      </w:r>
    </w:p>
    <w:bookmarkEnd w:id="25"/>
    <w:bookmarkStart w:id="26" w:name="usunięcie-i-zwrot-danych"/>
    <w:p>
      <w:pPr>
        <w:pStyle w:val="Heading1"/>
      </w:pPr>
      <w:r>
        <w:t xml:space="preserve">§ 7. Usunięcie i zwrot danych</w:t>
      </w:r>
    </w:p>
    <w:p>
      <w:pPr>
        <w:numPr>
          <w:ilvl w:val="0"/>
          <w:numId w:val="1006"/>
        </w:numPr>
        <w:pStyle w:val="Compact"/>
      </w:pPr>
      <w:r>
        <w:t xml:space="preserve">Administrator może w każdej chwili usunąć dane Kandydata lub całą rekrutację w Koncie albo zlecić to Podmiotowi przetwarzającemu.</w:t>
      </w:r>
    </w:p>
    <w:p>
      <w:pPr>
        <w:numPr>
          <w:ilvl w:val="0"/>
          <w:numId w:val="1006"/>
        </w:numPr>
        <w:pStyle w:val="Compact"/>
      </w:pPr>
      <w:r>
        <w:t xml:space="preserve">Po zakończeniu świadczenia usług Podmiot przetwarzający, według wyboru Administratora, zwraca dane (eksport) lub usuwa je w terminie 30 dni, chyba że prawo nakazuje ich dalsze przechowywanie. Usunięcie obejmuje teksty CV, wersje po redakcji, wyniki analiz, rankingi i raporty.</w:t>
      </w:r>
    </w:p>
    <w:p>
      <w:pPr>
        <w:numPr>
          <w:ilvl w:val="0"/>
          <w:numId w:val="1006"/>
        </w:numPr>
        <w:pStyle w:val="Compact"/>
      </w:pPr>
      <w:r>
        <w:t xml:space="preserve">Dane w kopiach zapasowych są usuwane w cyklu ich rotacji, nie dłuższym niż 30 dni. W razie odtworzenia kopii dane wcześniej usunięte nie są ponownie udostępniane.</w:t>
      </w:r>
    </w:p>
    <w:p>
      <w:pPr>
        <w:numPr>
          <w:ilvl w:val="0"/>
          <w:numId w:val="1006"/>
        </w:numPr>
        <w:pStyle w:val="Compact"/>
      </w:pPr>
      <w:r>
        <w:t xml:space="preserve">Na żądanie Podmiot przetwarzający potwierdza usunięcie danych.</w:t>
      </w:r>
    </w:p>
    <w:bookmarkEnd w:id="26"/>
    <w:bookmarkStart w:id="27" w:name="odpowiedzialność-i-postanowienia-końcowe"/>
    <w:p>
      <w:pPr>
        <w:pStyle w:val="Heading1"/>
      </w:pPr>
      <w:r>
        <w:t xml:space="preserve">§ 8. Odpowiedzialność i postanowienia końcowe</w:t>
      </w:r>
    </w:p>
    <w:p>
      <w:pPr>
        <w:numPr>
          <w:ilvl w:val="0"/>
          <w:numId w:val="1007"/>
        </w:numPr>
        <w:pStyle w:val="Compact"/>
      </w:pPr>
      <w:r>
        <w:t xml:space="preserve">Odpowiedzialność stron określają RODO i Regulamin.</w:t>
      </w:r>
    </w:p>
    <w:p>
      <w:pPr>
        <w:numPr>
          <w:ilvl w:val="0"/>
          <w:numId w:val="1007"/>
        </w:numPr>
        <w:pStyle w:val="Compact"/>
      </w:pPr>
      <w:r>
        <w:t xml:space="preserve">Zmiana zakresu przetwarzania, w tym uruchomienie nowych funkcji wymagających innych kategorii danych (np. rozmów głosowych), wymaga aktualizacji niniejszej umowy przed rozpoczęciem takiego przetwarzania.</w:t>
      </w:r>
    </w:p>
    <w:bookmarkEnd w:id="27"/>
    <w:bookmarkStart w:id="28" w:name="kategorie-osób-i-danych"/>
    <w:p>
      <w:pPr>
        <w:pStyle w:val="Heading1"/>
      </w:pPr>
      <w:r>
        <w:t xml:space="preserve">§ 9. Kategorie osób i danych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Kategorie osób:</w:t>
      </w:r>
      <w:r>
        <w:t xml:space="preserve"> </w:t>
      </w:r>
      <w:r>
        <w:t xml:space="preserve">Kandydaci Administratora; osoby uczestniczące w rekrutacji po stronie Administratora w zakresie ocen i komentarzy.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Kategorie danych:</w:t>
      </w:r>
      <w:r>
        <w:t xml:space="preserve"> </w:t>
      </w:r>
      <w:r>
        <w:t xml:space="preserve">dane identyfikacyjne i kontaktowe w zakresie zawartym w CV lub wprowadzonym przez Administratora, wykształcenie, przebieg zatrudnienia, umiejętności i kwalifikacje, treść CV, oceny, notatki i komentarze, wyniki analiz, rankingi i raporty.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Dane szczególnych kategorii:</w:t>
      </w:r>
      <w:r>
        <w:t xml:space="preserve"> </w:t>
      </w:r>
      <w:r>
        <w:t xml:space="preserve">nie są przedmiotem powierzenia. Administrator usuwa je z CV przed analizą, chyba że ma podstawę prawną ich przetwarzania.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Czas przetwarzania:</w:t>
      </w:r>
      <w:r>
        <w:t xml:space="preserve"> </w:t>
      </w:r>
      <w:r>
        <w:t xml:space="preserve">do zakończenia celu rekrutacji określonego przez Administratora, nie dłużej niż przez czas świadczenia usług i okres z § 7.</w:t>
      </w:r>
    </w:p>
    <w:bookmarkEnd w:id="28"/>
    <w:bookmarkStart w:id="29" w:name="dalsze-podmioty-przetwarzające"/>
    <w:p>
      <w:pPr>
        <w:pStyle w:val="Heading1"/>
      </w:pPr>
      <w:r>
        <w:t xml:space="preserve">§ 10. Dalsze podmioty przetwarzające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31"/>
        <w:gridCol w:w="2994"/>
        <w:gridCol w:w="29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Podmiot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Zakres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Lokalizacja / transfer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Supabase Inc.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baza danych, logowanie, kopie zapasowe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baza w UE; dostęp serwisowy możliwy z USA – SCC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Vercel Inc.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hosting i wykonywanie aplikacji, logi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UE/USA – DPF lub SCC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OpenAI Ireland Ltd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analiza AI zredagowanego tekstu CV i wymagań stanowiska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dalsze przetwarzanie możliwe w USA – DPF lub SCC; dane API nie są używane do trenowania modeli</w:t>
            </w:r>
          </w:p>
        </w:tc>
      </w:tr>
    </w:tbl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przetwarzania danych osobowych (DPA)</dc:title>
  <dc:creator/>
  <cp:keywords/>
  <dcterms:created xsi:type="dcterms:W3CDTF">2026-10-28T17:36:17Z</dcterms:created>
  <dcterms:modified xsi:type="dcterms:W3CDTF">2026-10-28T17:36:17Z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