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Polityka</w:t>
      </w:r>
      <w:r>
        <w:t xml:space="preserve"> </w:t>
      </w:r>
      <w:r>
        <w:t xml:space="preserve">prywatności</w:t>
      </w:r>
      <w:r>
        <w:t xml:space="preserve"> </w:t>
      </w:r>
      <w:r>
        <w:t xml:space="preserve">SkillCheck</w:t>
      </w:r>
    </w:p>
    <w:p>
      <w:pPr>
        <w:pStyle w:val="FirstParagraph"/>
      </w:pPr>
      <w:r>
        <w:t xml:space="preserve">Wersja 1.0 · obowiązuje od 29.10.2026</w:t>
      </w:r>
    </w:p>
    <w:bookmarkStart w:id="20" w:name="administrator"/>
    <w:p>
      <w:pPr>
        <w:pStyle w:val="Heading1"/>
      </w:pPr>
      <w:r>
        <w:t xml:space="preserve">1. Administrator</w:t>
      </w:r>
    </w:p>
    <w:p>
      <w:pPr>
        <w:pStyle w:val="FirstParagraph"/>
      </w:pPr>
      <w:r>
        <w:t xml:space="preserve">Administratorem danych osobowych opisanych w tej polityce jest KTIG CONSULTING spółka z ograniczoną odpowiedzialnością, ul. Michała Kajki 10–12, 10-547 Olsztyn, KRS 0001110252, NIP 7394002294, REGON 528903093 („my”). W sprawach danych osobowych prosimy o kontakt: pomoc@skillcheck.pl, tel. +48 730 266 909. Nie wyznaczyliśmy inspektora ochrony danych.</w:t>
      </w:r>
    </w:p>
    <w:bookmarkEnd w:id="20"/>
    <w:bookmarkStart w:id="21" w:name="kogo-dotyczy-polityka"/>
    <w:p>
      <w:pPr>
        <w:pStyle w:val="Heading1"/>
      </w:pPr>
      <w:r>
        <w:t xml:space="preserve">2. Kogo dotyczy polityka</w:t>
      </w:r>
    </w:p>
    <w:p>
      <w:pPr>
        <w:pStyle w:val="FirstParagraph"/>
      </w:pPr>
      <w:r>
        <w:t xml:space="preserve">Polityka dotyczy danych, które przetwarzamy we własnym imieniu: przedstawicieli i Użytkowników firm korzystających z SkillCheck, osób składających zamówienia i reklamacje oraz osób kontaktujących się z nami przez formularz, e-mail lub telefon.</w:t>
      </w:r>
    </w:p>
    <w:p>
      <w:pPr>
        <w:pStyle w:val="BodyText"/>
      </w:pPr>
      <w:r>
        <w:t xml:space="preserve">Dane Kandydatów, które firmy wprowadzają do SkillCheck, przetwarzamy na polecenie tych firm jako podmiot przetwarzający, na podstawie umowy powierzenia. Administratorem danych Kandydata jest firma prowadząca rekrutację – to ona informuje Kandydata o przetwarzaniu i do niej w pierwszej kolejności należy kierować żądania. Pomagamy firmom w realizacji tych żądań.</w:t>
      </w:r>
    </w:p>
    <w:bookmarkEnd w:id="21"/>
    <w:bookmarkStart w:id="22" w:name="cele-podstawy-i-zakres-przetwarzania"/>
    <w:p>
      <w:pPr>
        <w:pStyle w:val="Heading1"/>
      </w:pPr>
      <w:r>
        <w:t xml:space="preserve">3. Cele, podstawy i zakres przetwarzania</w:t>
      </w:r>
    </w:p>
    <w:tbl>
      <w:tblPr>
        <w:tblStyle w:val="Table"/>
        <w:tblW w:type="pct" w:w="5000"/>
        <w:tblLook w:firstRow="1" w:lastRow="0" w:firstColumn="0" w:lastColumn="0" w:noHBand="0" w:noVBand="0" w:val="0020"/>
        <w:jc w:val="start"/>
      </w:tblPr>
      <w:tblGrid>
        <w:gridCol w:w="2274"/>
        <w:gridCol w:w="2274"/>
        <w:gridCol w:w="3370"/>
      </w:tblGrid>
      <w:tr>
        <w:trPr>
          <w:tblHeader w:val="true"/>
        </w:trPr>
        <w:tc>
          <w:tcPr/>
          <w:p>
            <w:pPr>
              <w:pStyle w:val="Compact"/>
              <w:jc w:val="left"/>
            </w:pPr>
            <w:r>
              <w:t xml:space="preserve">Cel</w:t>
            </w:r>
          </w:p>
        </w:tc>
        <w:tc>
          <w:tcPr/>
          <w:p>
            <w:pPr>
              <w:pStyle w:val="Compact"/>
              <w:jc w:val="left"/>
            </w:pPr>
            <w:r>
              <w:t xml:space="preserve">Dane</w:t>
            </w:r>
          </w:p>
        </w:tc>
        <w:tc>
          <w:tcPr/>
          <w:p>
            <w:pPr>
              <w:pStyle w:val="Compact"/>
              <w:jc w:val="left"/>
            </w:pPr>
            <w:r>
              <w:t xml:space="preserve">Podstawa prawna</w:t>
            </w:r>
          </w:p>
        </w:tc>
      </w:tr>
      <w:tr>
        <w:tc>
          <w:tcPr/>
          <w:p>
            <w:pPr>
              <w:pStyle w:val="Compact"/>
              <w:jc w:val="left"/>
            </w:pPr>
            <w:r>
              <w:t xml:space="preserve">Rejestracja i prowadzenie Konta, świadczenie usług</w:t>
            </w:r>
          </w:p>
        </w:tc>
        <w:tc>
          <w:tcPr/>
          <w:p>
            <w:pPr>
              <w:pStyle w:val="Compact"/>
              <w:jc w:val="left"/>
            </w:pPr>
            <w:r>
              <w:t xml:space="preserve">imię, nazwisko, służbowy e-mail, nazwa firmy, NIP, rola w Koncie, dane logowania</w:t>
            </w:r>
          </w:p>
        </w:tc>
        <w:tc>
          <w:tcPr/>
          <w:p>
            <w:pPr>
              <w:pStyle w:val="Compact"/>
              <w:jc w:val="left"/>
            </w:pPr>
            <w:r>
              <w:t xml:space="preserve">art. 6 ust. 1 lit. b RODO (umowa), a wobec przedstawicieli firm – art. 6 ust. 1 lit. f RODO (nasz uzasadniony interes w wykonaniu umowy z firmą)</w:t>
            </w:r>
          </w:p>
        </w:tc>
      </w:tr>
      <w:tr>
        <w:tc>
          <w:tcPr/>
          <w:p>
            <w:pPr>
              <w:pStyle w:val="Compact"/>
              <w:jc w:val="left"/>
            </w:pPr>
            <w:r>
              <w:t xml:space="preserve">Weryfikacja firmy przy aktywacji pakietu FREE i zamówieniach</w:t>
            </w:r>
          </w:p>
        </w:tc>
        <w:tc>
          <w:tcPr/>
          <w:p>
            <w:pPr>
              <w:pStyle w:val="Compact"/>
              <w:jc w:val="left"/>
            </w:pPr>
            <w:r>
              <w:t xml:space="preserve">NIP, nazwa i adres firmy, status VAT</w:t>
            </w:r>
          </w:p>
        </w:tc>
        <w:tc>
          <w:tcPr/>
          <w:p>
            <w:pPr>
              <w:pStyle w:val="Compact"/>
              <w:jc w:val="left"/>
            </w:pPr>
            <w:r>
              <w:t xml:space="preserve">art. 6 ust. 1 lit. f RODO (zapobieganie nadużyciom, weryfikacja kontrahenta)</w:t>
            </w:r>
          </w:p>
        </w:tc>
      </w:tr>
      <w:tr>
        <w:tc>
          <w:tcPr/>
          <w:p>
            <w:pPr>
              <w:pStyle w:val="Compact"/>
              <w:jc w:val="left"/>
            </w:pPr>
            <w:r>
              <w:t xml:space="preserve">Zamówienia, płatności, faktury i KSeF</w:t>
            </w:r>
          </w:p>
        </w:tc>
        <w:tc>
          <w:tcPr/>
          <w:p>
            <w:pPr>
              <w:pStyle w:val="Compact"/>
              <w:jc w:val="left"/>
            </w:pPr>
            <w:r>
              <w:t xml:space="preserve">dane z zamówienia, kwota, status płatności, dane do faktury</w:t>
            </w:r>
          </w:p>
        </w:tc>
        <w:tc>
          <w:tcPr/>
          <w:p>
            <w:pPr>
              <w:pStyle w:val="Compact"/>
              <w:jc w:val="left"/>
            </w:pPr>
            <w:r>
              <w:t xml:space="preserve">art. 6 ust. 1 lit. b i c RODO (umowa, obowiązki podatkowe i rachunkowe)</w:t>
            </w:r>
          </w:p>
        </w:tc>
      </w:tr>
      <w:tr>
        <w:tc>
          <w:tcPr/>
          <w:p>
            <w:pPr>
              <w:pStyle w:val="Compact"/>
              <w:jc w:val="left"/>
            </w:pPr>
            <w:r>
              <w:t xml:space="preserve">Reklamacje i odstąpienie od umowy</w:t>
            </w:r>
          </w:p>
        </w:tc>
        <w:tc>
          <w:tcPr/>
          <w:p>
            <w:pPr>
              <w:pStyle w:val="Compact"/>
              <w:jc w:val="left"/>
            </w:pPr>
            <w:r>
              <w:t xml:space="preserve">treść zgłoszenia, dane kontaktowe, dane zamówienia</w:t>
            </w:r>
          </w:p>
        </w:tc>
        <w:tc>
          <w:tcPr/>
          <w:p>
            <w:pPr>
              <w:pStyle w:val="Compact"/>
              <w:jc w:val="left"/>
            </w:pPr>
            <w:r>
              <w:t xml:space="preserve">art. 6 ust. 1 lit. b, c i f RODO</w:t>
            </w:r>
          </w:p>
        </w:tc>
      </w:tr>
      <w:tr>
        <w:tc>
          <w:tcPr/>
          <w:p>
            <w:pPr>
              <w:pStyle w:val="Compact"/>
              <w:jc w:val="left"/>
            </w:pPr>
            <w:r>
              <w:t xml:space="preserve">Odpowiedź na zapytanie z formularza kontaktowego</w:t>
            </w:r>
          </w:p>
        </w:tc>
        <w:tc>
          <w:tcPr/>
          <w:p>
            <w:pPr>
              <w:pStyle w:val="Compact"/>
              <w:jc w:val="left"/>
            </w:pPr>
            <w:r>
              <w:t xml:space="preserve">imię, nazwa firmy, e-mail, opcjonalnie telefon, opis potrzeb</w:t>
            </w:r>
          </w:p>
        </w:tc>
        <w:tc>
          <w:tcPr/>
          <w:p>
            <w:pPr>
              <w:pStyle w:val="Compact"/>
              <w:jc w:val="left"/>
            </w:pPr>
            <w:r>
              <w:t xml:space="preserve">art. 6 ust. 1 lit. f RODO, a przed zawarciem umowy na Twoje żądanie – lit. b</w:t>
            </w:r>
          </w:p>
        </w:tc>
      </w:tr>
      <w:tr>
        <w:tc>
          <w:tcPr/>
          <w:p>
            <w:pPr>
              <w:pStyle w:val="Compact"/>
              <w:jc w:val="left"/>
            </w:pPr>
            <w:r>
              <w:t xml:space="preserve">Bezpieczeństwo Serwisu i ochrona przed nadużyciami</w:t>
            </w:r>
          </w:p>
        </w:tc>
        <w:tc>
          <w:tcPr/>
          <w:p>
            <w:pPr>
              <w:pStyle w:val="Compact"/>
              <w:jc w:val="left"/>
            </w:pPr>
            <w:r>
              <w:t xml:space="preserve">adres IP (w postaci skrótu), identyfikatory sesji, logi zdarzeń</w:t>
            </w:r>
          </w:p>
        </w:tc>
        <w:tc>
          <w:tcPr/>
          <w:p>
            <w:pPr>
              <w:pStyle w:val="Compact"/>
              <w:jc w:val="left"/>
            </w:pPr>
            <w:r>
              <w:t xml:space="preserve">art. 6 ust. 1 lit. f RODO</w:t>
            </w:r>
          </w:p>
        </w:tc>
      </w:tr>
      <w:tr>
        <w:tc>
          <w:tcPr/>
          <w:p>
            <w:pPr>
              <w:pStyle w:val="Compact"/>
              <w:jc w:val="left"/>
            </w:pPr>
            <w:r>
              <w:t xml:space="preserve">Ustalenie, dochodzenie i obrona roszczeń</w:t>
            </w:r>
          </w:p>
        </w:tc>
        <w:tc>
          <w:tcPr/>
          <w:p>
            <w:pPr>
              <w:pStyle w:val="Compact"/>
              <w:jc w:val="left"/>
            </w:pPr>
            <w:r>
              <w:t xml:space="preserve">dane niezbędne do wykazania stanu sprawy</w:t>
            </w:r>
          </w:p>
        </w:tc>
        <w:tc>
          <w:tcPr/>
          <w:p>
            <w:pPr>
              <w:pStyle w:val="Compact"/>
              <w:jc w:val="left"/>
            </w:pPr>
            <w:r>
              <w:t xml:space="preserve">art. 6 ust. 1 lit. f RODO</w:t>
            </w:r>
          </w:p>
        </w:tc>
      </w:tr>
    </w:tbl>
    <w:p>
      <w:pPr>
        <w:pStyle w:val="BodyText"/>
      </w:pPr>
      <w:r>
        <w:t xml:space="preserve">Podanie danych jest dobrowolne, ale bez nich nie założysz Konta, nie złożysz zamówienia ani nie otrzymasz faktury. Nie wysyłamy informacji handlowych bez odrębnej zgody.</w:t>
      </w:r>
    </w:p>
    <w:bookmarkEnd w:id="22"/>
    <w:bookmarkStart w:id="23" w:name="skąd-mamy-dane"/>
    <w:p>
      <w:pPr>
        <w:pStyle w:val="Heading1"/>
      </w:pPr>
      <w:r>
        <w:t xml:space="preserve">4. Skąd mamy dane</w:t>
      </w:r>
    </w:p>
    <w:p>
      <w:pPr>
        <w:pStyle w:val="FirstParagraph"/>
      </w:pPr>
      <w:r>
        <w:t xml:space="preserve">Dane otrzymujemy od Ciebie lub od firmy, którą reprezentujesz. Przy weryfikacji firmy pobieramy jej nazwę, adres i status VAT z publicznego Wykazu podatników VAT prowadzonego przez Szefa Krajowej Administracji Skarbowej („biała lista”).</w:t>
      </w:r>
    </w:p>
    <w:bookmarkEnd w:id="23"/>
    <w:bookmarkStart w:id="24" w:name="odbiorcy-danych"/>
    <w:p>
      <w:pPr>
        <w:pStyle w:val="Heading1"/>
      </w:pPr>
      <w:r>
        <w:t xml:space="preserve">5. Odbiorcy danych</w:t>
      </w:r>
    </w:p>
    <w:p>
      <w:pPr>
        <w:pStyle w:val="FirstParagraph"/>
      </w:pPr>
      <w:r>
        <w:t xml:space="preserve">Dane mogą otrzymać wyłącznie podmioty, które pomagają nam świadczyć usługi, w niezbędnym zakresie i na podstawie umów:</w:t>
      </w:r>
    </w:p>
    <w:p>
      <w:pPr>
        <w:numPr>
          <w:ilvl w:val="0"/>
          <w:numId w:val="1001"/>
        </w:numPr>
        <w:pStyle w:val="Compact"/>
      </w:pPr>
      <w:r>
        <w:t xml:space="preserve">Supabase Inc. – baza danych i logowanie (baza danych zlokalizowana w Unii Europejskiej),</w:t>
      </w:r>
    </w:p>
    <w:p>
      <w:pPr>
        <w:numPr>
          <w:ilvl w:val="0"/>
          <w:numId w:val="1001"/>
        </w:numPr>
        <w:pStyle w:val="Compact"/>
      </w:pPr>
      <w:r>
        <w:t xml:space="preserve">Vercel Inc. – hosting aplikacji,</w:t>
      </w:r>
    </w:p>
    <w:p>
      <w:pPr>
        <w:numPr>
          <w:ilvl w:val="0"/>
          <w:numId w:val="1001"/>
        </w:numPr>
        <w:pStyle w:val="Compact"/>
      </w:pPr>
      <w:r>
        <w:t xml:space="preserve">home.pl S.A. – domena i poczta e-mail,</w:t>
      </w:r>
    </w:p>
    <w:p>
      <w:pPr>
        <w:numPr>
          <w:ilvl w:val="0"/>
          <w:numId w:val="1001"/>
        </w:numPr>
        <w:pStyle w:val="Compact"/>
      </w:pPr>
      <w:r>
        <w:t xml:space="preserve">Plus Five Five, Inc. (Resend) – wysyłka automatycznych wiadomości e-mail,</w:t>
      </w:r>
    </w:p>
    <w:p>
      <w:pPr>
        <w:numPr>
          <w:ilvl w:val="0"/>
          <w:numId w:val="1001"/>
        </w:numPr>
        <w:pStyle w:val="Compact"/>
      </w:pPr>
      <w:r>
        <w:t xml:space="preserve">Fakturownia – wystawianie faktur i faktur proforma oraz ich przesyłanie do KSeF,</w:t>
      </w:r>
    </w:p>
    <w:p>
      <w:pPr>
        <w:numPr>
          <w:ilvl w:val="0"/>
          <w:numId w:val="1001"/>
        </w:numPr>
        <w:pStyle w:val="Compact"/>
      </w:pPr>
      <w:r>
        <w:t xml:space="preserve">OpenAI Ireland Ltd – analiza AI tekstu przekazanego przez firmę (dotyczy danych powierzonych; dane nie są wykorzystywane do trenowania modeli),</w:t>
      </w:r>
    </w:p>
    <w:p>
      <w:pPr>
        <w:numPr>
          <w:ilvl w:val="0"/>
          <w:numId w:val="1001"/>
        </w:numPr>
        <w:pStyle w:val="Compact"/>
      </w:pPr>
      <w:r>
        <w:t xml:space="preserve">PayPro S.A. (Przelewy24) – obsługa płatności online; PayPro S.A. przetwarza dane płatnicze również jako odrębny administrator,</w:t>
      </w:r>
    </w:p>
    <w:p>
      <w:pPr>
        <w:numPr>
          <w:ilvl w:val="0"/>
          <w:numId w:val="1001"/>
        </w:numPr>
        <w:pStyle w:val="Compact"/>
      </w:pPr>
      <w:r>
        <w:t xml:space="preserve">biuro rachunkowe, bank i doradcy prawni – w zakresie niezbędnym do realizacji ich zadań,</w:t>
      </w:r>
    </w:p>
    <w:p>
      <w:pPr>
        <w:numPr>
          <w:ilvl w:val="0"/>
          <w:numId w:val="1001"/>
        </w:numPr>
        <w:pStyle w:val="Compact"/>
      </w:pPr>
      <w:r>
        <w:t xml:space="preserve">organy publiczne – gdy wymagają tego przepisy.</w:t>
      </w:r>
    </w:p>
    <w:bookmarkEnd w:id="24"/>
    <w:bookmarkStart w:id="25" w:name="przekazywanie-danych-poza-eog"/>
    <w:p>
      <w:pPr>
        <w:pStyle w:val="Heading1"/>
      </w:pPr>
      <w:r>
        <w:t xml:space="preserve">6. Przekazywanie danych poza EOG</w:t>
      </w:r>
    </w:p>
    <w:p>
      <w:pPr>
        <w:pStyle w:val="FirstParagraph"/>
      </w:pPr>
      <w:r>
        <w:t xml:space="preserve">Niektórzy dostawcy (Vercel, Resend, OpenAI) mogą przetwarzać dane lub zapewniać dostęp do nich spoza Europejskiego Obszaru Gospodarczego, w szczególności w USA. W takich przypadkach transfer odbywa się na podstawie decyzji Komisji Europejskiej stwierdzającej odpowiedni stopień ochrony (EU–US Data Privacy Framework) lub standardowych klauzul umownych przyjętych przez Komisję Europejską. Kopię zabezpieczeń możesz otrzymać, kontaktując się z nami.</w:t>
      </w:r>
    </w:p>
    <w:bookmarkEnd w:id="25"/>
    <w:bookmarkStart w:id="26" w:name="jak-długo-przechowujemy-dane"/>
    <w:p>
      <w:pPr>
        <w:pStyle w:val="Heading1"/>
      </w:pPr>
      <w:r>
        <w:t xml:space="preserve">7. Jak długo przechowujemy dane</w:t>
      </w:r>
    </w:p>
    <w:p>
      <w:pPr>
        <w:numPr>
          <w:ilvl w:val="0"/>
          <w:numId w:val="1002"/>
        </w:numPr>
        <w:pStyle w:val="Compact"/>
      </w:pPr>
      <w:r>
        <w:t xml:space="preserve">dane Konta – przez czas jego prowadzenia, a następnie do upływu terminu przedawnienia roszczeń,</w:t>
      </w:r>
    </w:p>
    <w:p>
      <w:pPr>
        <w:numPr>
          <w:ilvl w:val="0"/>
          <w:numId w:val="1002"/>
        </w:numPr>
        <w:pStyle w:val="Compact"/>
      </w:pPr>
      <w:r>
        <w:t xml:space="preserve">dane zamówień i faktury – przez okres wymagany przepisami podatkowymi i o rachunkowości (5 lat od końca roku, w którym upłynął termin płatności podatku),</w:t>
      </w:r>
    </w:p>
    <w:p>
      <w:pPr>
        <w:numPr>
          <w:ilvl w:val="0"/>
          <w:numId w:val="1002"/>
        </w:numPr>
        <w:pStyle w:val="Compact"/>
      </w:pPr>
      <w:r>
        <w:t xml:space="preserve">reklamacje – do upływu terminu przedawnienia roszczeń z nimi związanych,</w:t>
      </w:r>
    </w:p>
    <w:p>
      <w:pPr>
        <w:numPr>
          <w:ilvl w:val="0"/>
          <w:numId w:val="1002"/>
        </w:numPr>
        <w:pStyle w:val="Compact"/>
      </w:pPr>
      <w:r>
        <w:t xml:space="preserve">zapytania z formularza kontaktowego – przez czas rozmów i 6 miesięcy od ich zakończenia, jeżeli nie zawrzemy umowy,</w:t>
      </w:r>
    </w:p>
    <w:p>
      <w:pPr>
        <w:numPr>
          <w:ilvl w:val="0"/>
          <w:numId w:val="1002"/>
        </w:numPr>
        <w:pStyle w:val="Compact"/>
      </w:pPr>
      <w:r>
        <w:t xml:space="preserve">techniczny rejestr prób wysłania formularza – 48 godzin,</w:t>
      </w:r>
    </w:p>
    <w:p>
      <w:pPr>
        <w:numPr>
          <w:ilvl w:val="0"/>
          <w:numId w:val="1002"/>
        </w:numPr>
        <w:pStyle w:val="Compact"/>
      </w:pPr>
      <w:r>
        <w:t xml:space="preserve">logi bezpieczeństwa – nie dłużej, niż jest to potrzebne do ochrony Serwisu.</w:t>
      </w:r>
    </w:p>
    <w:bookmarkEnd w:id="26"/>
    <w:bookmarkStart w:id="27" w:name="twoje-prawa"/>
    <w:p>
      <w:pPr>
        <w:pStyle w:val="Heading1"/>
      </w:pPr>
      <w:r>
        <w:t xml:space="preserve">8. Twoje prawa</w:t>
      </w:r>
    </w:p>
    <w:p>
      <w:pPr>
        <w:pStyle w:val="FirstParagraph"/>
      </w:pPr>
      <w:r>
        <w:t xml:space="preserve">Masz prawo do dostępu do danych, ich sprostowania, usunięcia, ograniczenia przetwarzania, przenoszenia danych (gdy podstawą jest umowa) oraz do wniesienia sprzeciwu wobec przetwarzania opartego na naszym uzasadnionym interesie. Aby skorzystać z praw, napisz na pomoc@skillcheck.pl. Masz także prawo wnieść skargę do Prezesa Urzędu Ochrony Danych Osobowych (ul. Stawki 2, 00-193 Warszawa, uodo.gov.pl).</w:t>
      </w:r>
    </w:p>
    <w:p>
      <w:pPr>
        <w:pStyle w:val="BodyText"/>
      </w:pPr>
      <w:r>
        <w:t xml:space="preserve">Nie podejmujemy wobec Ciebie decyzji opartych wyłącznie na zautomatyzowanym przetwarzaniu, które wywołują skutki prawne lub w podobny sposób istotnie na Ciebie wpływają.</w:t>
      </w:r>
    </w:p>
    <w:bookmarkEnd w:id="27"/>
    <w:bookmarkStart w:id="28" w:name="pliki-cookies"/>
    <w:p>
      <w:pPr>
        <w:pStyle w:val="Heading1"/>
      </w:pPr>
      <w:r>
        <w:t xml:space="preserve">9. Pliki cookies</w:t>
      </w:r>
    </w:p>
    <w:p>
      <w:pPr>
        <w:pStyle w:val="FirstParagraph"/>
      </w:pPr>
      <w:r>
        <w:t xml:space="preserve">Serwis używa wyłącznie plików cookies niezbędnych do działania: cookies sesji logowania (Supabase), które utrzymują Cię zalogowanym i chronią Konto. Nie stosujemy cookies analitycznych ani reklamowych, dlatego nie prosimy o zgodę na cookies. Możesz zablokować cookies w przeglądarce, ale wtedy logowanie nie będzie możliwe. Jeżeli w przyszłości wprowadzimy inne cookies, zaktualizujemy tę politykę i – gdy będzie to wymagane – poprosimy o zgodę.</w:t>
      </w:r>
    </w:p>
    <w:bookmarkEnd w:id="28"/>
    <w:bookmarkStart w:id="29" w:name="bezpieczeństwo-i-zmiany"/>
    <w:p>
      <w:pPr>
        <w:pStyle w:val="Heading1"/>
      </w:pPr>
      <w:r>
        <w:t xml:space="preserve">10. Bezpieczeństwo i zmiany</w:t>
      </w:r>
    </w:p>
    <w:p>
      <w:pPr>
        <w:pStyle w:val="FirstParagraph"/>
      </w:pPr>
      <w:r>
        <w:t xml:space="preserve">Stosujemy szyfrowane połączenia (TLS), kontrolę dostępu, rozdzielenie danych firm na poziomie bazy danych i rejestrowanie operacji. O istotnych zmianach tej polityki poinformujemy w Serwisie i – Klientów – e-mailem.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Polityka prywatności SkillCheck</dc:title>
  <dc:creator/>
  <cp:keywords/>
  <dcterms:created xsi:type="dcterms:W3CDTF">2026-10-28T17:36:17Z</dcterms:created>
  <dcterms:modified xsi:type="dcterms:W3CDTF">2026-10-28T17:36:17Z</dcterms:modified>
</cp:coreProperties>
</file>

<file path=docProps/custom.xml><?xml version="1.0" encoding="utf-8"?>
<Properties xmlns="http://schemas.openxmlformats.org/officeDocument/2006/custom-properties" xmlns:vt="http://schemas.openxmlformats.org/officeDocument/2006/docPropsVTypes"/>
</file>