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Regulamin</w:t>
      </w:r>
      <w:r>
        <w:t xml:space="preserve"> </w:t>
      </w:r>
      <w:r>
        <w:t xml:space="preserve">świadczenia</w:t>
      </w:r>
      <w:r>
        <w:t xml:space="preserve"> </w:t>
      </w:r>
      <w:r>
        <w:t xml:space="preserve">usług</w:t>
      </w:r>
      <w:r>
        <w:t xml:space="preserve"> </w:t>
      </w:r>
      <w:r>
        <w:t xml:space="preserve">SkillCheck</w:t>
      </w:r>
    </w:p>
    <w:p>
      <w:pPr>
        <w:pStyle w:val="FirstParagraph"/>
      </w:pPr>
      <w:r>
        <w:t xml:space="preserve">Wersja 1.0 · obowiązuje od 29.10.2026</w:t>
      </w:r>
    </w:p>
    <w:bookmarkStart w:id="20" w:name="usługodawca-i-kontakt"/>
    <w:p>
      <w:pPr>
        <w:pStyle w:val="Heading1"/>
      </w:pPr>
      <w:r>
        <w:t xml:space="preserve">§ 1. Usługodawca i kontakt</w:t>
      </w:r>
    </w:p>
    <w:p>
      <w:pPr>
        <w:numPr>
          <w:ilvl w:val="0"/>
          <w:numId w:val="1001"/>
        </w:numPr>
        <w:pStyle w:val="Compact"/>
      </w:pPr>
      <w:r>
        <w:t xml:space="preserve">Serwis SkillCheck dostępny pod adresem https://skillcheck.pl („Serwis”) prowadzi KTIG CONSULTING spółka z ograniczoną odpowiedzialnością z siedzibą w Olsztynie, ul. Michała Kajki 10–12, 10-547 Olsztyn, wpisana do rejestru przedsiębiorców Krajowego Rejestru Sądowego pod numerem KRS 0001110252, NIP 7394002294, REGON 528903093, kapitał zakładowy 5 000 zł („Usługodawca”).</w:t>
      </w:r>
    </w:p>
    <w:p>
      <w:pPr>
        <w:numPr>
          <w:ilvl w:val="0"/>
          <w:numId w:val="1001"/>
        </w:numPr>
        <w:pStyle w:val="Compact"/>
      </w:pPr>
      <w:r>
        <w:t xml:space="preserve">Kontakt w sprawach obsługi, zamówień, płatności, reklamacji i danych osobowych: e-mail pomoc@skillcheck.pl, tel. +48 730 266 909.</w:t>
      </w:r>
    </w:p>
    <w:p>
      <w:pPr>
        <w:numPr>
          <w:ilvl w:val="0"/>
          <w:numId w:val="1001"/>
        </w:numPr>
        <w:pStyle w:val="Compact"/>
      </w:pPr>
      <w:r>
        <w:t xml:space="preserve">Regulamin określa zasady korzystania z Serwisu, zakładania kont, zamawiania pakietów, płatności, reklamacji i odstąpienia od umowy. Regulamin jest udostępniany nieodpłatnie przed zawarciem umowy w sposób umożliwiający jego pobranie, zapisanie i wydrukowanie.</w:t>
      </w:r>
    </w:p>
    <w:p>
      <w:pPr>
        <w:numPr>
          <w:ilvl w:val="0"/>
          <w:numId w:val="1001"/>
        </w:numPr>
        <w:pStyle w:val="Compact"/>
      </w:pPr>
      <w:r>
        <w:t xml:space="preserve">Załącznikami do Regulaminu są: Załącznik nr 1 – Umowa powierzenia przetwarzania danych osobowych (DPA), Załącznik nr 2 – Wzór formularza odstąpienia od umowy. Zasady przetwarzania danych przez Usługodawcę jako administratora opisuje Polityka prywatności.</w:t>
      </w:r>
    </w:p>
    <w:bookmarkEnd w:id="20"/>
    <w:bookmarkStart w:id="21" w:name="definicje"/>
    <w:p>
      <w:pPr>
        <w:pStyle w:val="Heading1"/>
      </w:pPr>
      <w:r>
        <w:t xml:space="preserve">§ 2. Definicje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Klient</w:t>
      </w:r>
      <w:r>
        <w:t xml:space="preserve"> </w:t>
      </w:r>
      <w:r>
        <w:t xml:space="preserve">– przedsiębiorca, w tym osoba fizyczna prowadząca działalność gospodarczą, albo inna organizacja korzystająca z Serwisu w związku z prowadzoną działalnością.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Przedsiębiorca na prawach konsumenta</w:t>
      </w:r>
      <w:r>
        <w:t xml:space="preserve"> </w:t>
      </w:r>
      <w:r>
        <w:t xml:space="preserve">– osoba fizyczna prowadząca jednoosobową działalność gospodarczą, która zawiera umowę bezpośrednio związaną z jej działalnością, gdy z treści umowy wynika, że nie ma ona dla niej charakteru zawodowego, w szczególności w świetle przedmiotu działalności udostępnionego w CEIDG.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Użytkownik</w:t>
      </w:r>
      <w:r>
        <w:t xml:space="preserve"> </w:t>
      </w:r>
      <w:r>
        <w:t xml:space="preserve">– osoba fizyczna działająca w Koncie z upoważnienia Klienta.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Konto</w:t>
      </w:r>
      <w:r>
        <w:t xml:space="preserve"> </w:t>
      </w:r>
      <w:r>
        <w:t xml:space="preserve">– konto firmowe Klienta w Serwisie.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Kandydat</w:t>
      </w:r>
      <w:r>
        <w:t xml:space="preserve"> </w:t>
      </w:r>
      <w:r>
        <w:t xml:space="preserve">– osoba, której dane Klient wprowadza do Serwisu w związku z prowadzoną przez siebie rekrutacją.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Pakiet</w:t>
      </w:r>
      <w:r>
        <w:t xml:space="preserve"> </w:t>
      </w:r>
      <w:r>
        <w:t xml:space="preserve">– zakres usług opisany w Ofercie.</w:t>
      </w:r>
      <w:r>
        <w:t xml:space="preserve"> </w:t>
      </w:r>
      <w:r>
        <w:rPr>
          <w:bCs/>
          <w:b/>
        </w:rPr>
        <w:t xml:space="preserve">Oferta</w:t>
      </w:r>
      <w:r>
        <w:t xml:space="preserve"> </w:t>
      </w:r>
      <w:r>
        <w:t xml:space="preserve">– opis pakietu prezentowany w Serwisie przed zamówieniem, zawierający w szczególności cenę netto i brutto, liczbę Analiz i okres ich ważności.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Analiza</w:t>
      </w:r>
      <w:r>
        <w:t xml:space="preserve"> </w:t>
      </w:r>
      <w:r>
        <w:t xml:space="preserve">– jednostka rozliczeniowa uprawniająca do wykonania jednej analizy dokumentów jednego Kandydata względem wymagań stanowiska.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Wynik AI</w:t>
      </w:r>
      <w:r>
        <w:t xml:space="preserve"> </w:t>
      </w:r>
      <w:r>
        <w:t xml:space="preserve">– materiał pomocniczy wygenerowany automatycznie przez Serwis, który nie jest decyzją rekrutacyjną.</w:t>
      </w:r>
    </w:p>
    <w:bookmarkEnd w:id="21"/>
    <w:bookmarkStart w:id="22" w:name="usługi-i-pakiety"/>
    <w:p>
      <w:pPr>
        <w:pStyle w:val="Heading1"/>
      </w:pPr>
      <w:r>
        <w:t xml:space="preserve">§ 3. Usługi i pakiety</w:t>
      </w:r>
    </w:p>
    <w:p>
      <w:pPr>
        <w:numPr>
          <w:ilvl w:val="0"/>
          <w:numId w:val="1003"/>
        </w:numPr>
        <w:pStyle w:val="Compact"/>
      </w:pPr>
      <w:r>
        <w:t xml:space="preserve">SkillCheck jest usługą cyfrową wspierającą Klienta w rekrutacji: porządkowaniu wymagań stanowiska, przyjmowaniu i redagowaniu tekstu CV, analizie zgodności kompetencji Kandydata z wymaganiami, przeglądzie dowodów i braków, przygotowaniu listy kandydatów (shortlisty) i raportu.</w:t>
      </w:r>
    </w:p>
    <w:p>
      <w:pPr>
        <w:numPr>
          <w:ilvl w:val="0"/>
          <w:numId w:val="1003"/>
        </w:numPr>
        <w:pStyle w:val="Compact"/>
      </w:pPr>
      <w:r>
        <w:t xml:space="preserve">Usługodawca udostępnia następujące pakiety:</w:t>
      </w:r>
    </w:p>
    <w:p>
      <w:pPr>
        <w:numPr>
          <w:ilvl w:val="1"/>
          <w:numId w:val="1004"/>
        </w:numPr>
        <w:pStyle w:val="Compact"/>
      </w:pPr>
      <w:r>
        <w:rPr>
          <w:bCs/>
          <w:b/>
        </w:rPr>
        <w:t xml:space="preserve">FREE</w:t>
      </w:r>
      <w:r>
        <w:t xml:space="preserve"> </w:t>
      </w:r>
      <w:r>
        <w:t xml:space="preserve">– jednorazowy, bezpłatny pakiet próbny dla firmy, z limitem Analiz wskazanym w Serwisie w chwili aktywacji. Aktywacja wymaga podania numeru NIP firmy i służbowego adresu e-mail oraz pozytywnej weryfikacji firmy. Pakiet FREE przysługuje jednej firmie (jednemu numerowi NIP) jeden raz;</w:t>
      </w:r>
    </w:p>
    <w:p>
      <w:pPr>
        <w:numPr>
          <w:ilvl w:val="1"/>
          <w:numId w:val="1004"/>
        </w:numPr>
        <w:pStyle w:val="Compact"/>
      </w:pPr>
      <w:r>
        <w:rPr>
          <w:bCs/>
          <w:b/>
        </w:rPr>
        <w:t xml:space="preserve">PRESELEKCJA</w:t>
      </w:r>
      <w:r>
        <w:t xml:space="preserve"> </w:t>
      </w:r>
      <w:r>
        <w:t xml:space="preserve">– płatny pakiet Analiz o liczbie, cenie i okresie ważności wskazanych w Ofercie.</w:t>
      </w:r>
    </w:p>
    <w:p>
      <w:pPr>
        <w:numPr>
          <w:ilvl w:val="0"/>
          <w:numId w:val="1003"/>
        </w:numPr>
        <w:pStyle w:val="Compact"/>
      </w:pPr>
      <w:r>
        <w:t xml:space="preserve">Pakiety WERYFIKACJA i ASSESSMENT CENTER prezentowane w Serwisie mają charakter informacyjny i nie są dostępne do zakupu do czasu opublikowania dla nich Oferty. Usługodawca może przygotować dla nich ofertę indywidualną – wówczas zakres, termin i cena wynikają z zaakceptowanej oferty.</w:t>
      </w:r>
    </w:p>
    <w:p>
      <w:pPr>
        <w:numPr>
          <w:ilvl w:val="0"/>
          <w:numId w:val="1003"/>
        </w:numPr>
        <w:pStyle w:val="Compact"/>
      </w:pPr>
      <w:r>
        <w:t xml:space="preserve">Przykłady, demonstracje i kalkulatory oznaczone w Serwisie jako przykładowe nie stanowią oferty w rozumieniu Kodeksu cywilnego.</w:t>
      </w:r>
    </w:p>
    <w:bookmarkEnd w:id="22"/>
    <w:bookmarkStart w:id="23" w:name="wymagania-techniczne"/>
    <w:p>
      <w:pPr>
        <w:pStyle w:val="Heading1"/>
      </w:pPr>
      <w:r>
        <w:t xml:space="preserve">§ 4. Wymagania techniczne</w:t>
      </w:r>
    </w:p>
    <w:p>
      <w:pPr>
        <w:pStyle w:val="FirstParagraph"/>
      </w:pPr>
      <w:r>
        <w:t xml:space="preserve">Do korzystania z Serwisu potrzebne są: urządzenie z dostępem do Internetu, aktualna wersja przeglądarki (Chrome, Edge, Firefox lub Safari) z włączoną obsługą JavaScript i plików cookies niezbędnych do logowania oraz aktywny adres e-mail. Import CV obsługuje pliki TXT, PDF i DOCX do 750 KB.</w:t>
      </w:r>
    </w:p>
    <w:bookmarkEnd w:id="23"/>
    <w:bookmarkStart w:id="24" w:name="X7b5f0bfaf971e1af60365440e58b158a7a07223"/>
    <w:p>
      <w:pPr>
        <w:pStyle w:val="Heading1"/>
      </w:pPr>
      <w:r>
        <w:t xml:space="preserve">§ 5. Konto i zawarcie umowy o świadczenie usług</w:t>
      </w:r>
    </w:p>
    <w:p>
      <w:pPr>
        <w:numPr>
          <w:ilvl w:val="0"/>
          <w:numId w:val="1005"/>
        </w:numPr>
        <w:pStyle w:val="Compact"/>
      </w:pPr>
      <w:r>
        <w:t xml:space="preserve">Umowa o prowadzenie Konta zostaje zawarta z chwilą potwierdzenia rejestracji, po zaakceptowaniu Regulaminu wraz z Umową powierzenia (Załącznik nr 1) i zapoznaniu się z Polityką prywatności. Umowa o prowadzenie Konta jest nieodpłatna i zawierana na czas nieokreślony.</w:t>
      </w:r>
    </w:p>
    <w:p>
      <w:pPr>
        <w:numPr>
          <w:ilvl w:val="0"/>
          <w:numId w:val="1005"/>
        </w:numPr>
        <w:pStyle w:val="Compact"/>
      </w:pPr>
      <w:r>
        <w:t xml:space="preserve">Klient zapewnia, że osoba rejestrująca Konto jest upoważniona do działania w jego imieniu, a Użytkownicy są przez Klienta upoważnieni. Klient odpowiada za działania Użytkowników i bezpieczeństwo danych logowania.</w:t>
      </w:r>
    </w:p>
    <w:p>
      <w:pPr>
        <w:numPr>
          <w:ilvl w:val="0"/>
          <w:numId w:val="1005"/>
        </w:numPr>
        <w:pStyle w:val="Compact"/>
      </w:pPr>
      <w:r>
        <w:t xml:space="preserve">Zabronione jest korzystanie z Serwisu w sposób sprzeczny z prawem, w tym do praktyk dyskryminacyjnych, przetwarzania danych bez podstawy prawnej, obchodzenia limitów, uzyskiwania dostępu do danych innych Klientów oraz wprowadzania treści o charakterze bezprawnym.</w:t>
      </w:r>
    </w:p>
    <w:p>
      <w:pPr>
        <w:numPr>
          <w:ilvl w:val="0"/>
          <w:numId w:val="1005"/>
        </w:numPr>
        <w:pStyle w:val="Compact"/>
      </w:pPr>
      <w:r>
        <w:t xml:space="preserve">Klient może w każdej chwili rozwiązać umowę o prowadzenie Konta, wysyłając wiadomość na pomoc@skillcheck.pl. Usługodawca może rozwiązać tę umowę z zachowaniem 14-dniowego okresu wypowiedzenia lub ze skutkiem natychmiastowym w razie rażącego naruszenia Regulaminu. Rozwiązanie umowy nie wpływa na rozliczenie opłaconych zamówień.</w:t>
      </w:r>
    </w:p>
    <w:bookmarkEnd w:id="24"/>
    <w:bookmarkStart w:id="25" w:name="zamówienie-pakietu"/>
    <w:p>
      <w:pPr>
        <w:pStyle w:val="Heading1"/>
      </w:pPr>
      <w:r>
        <w:t xml:space="preserve">§ 6. Zamówienie pakietu</w:t>
      </w:r>
    </w:p>
    <w:p>
      <w:pPr>
        <w:numPr>
          <w:ilvl w:val="0"/>
          <w:numId w:val="1006"/>
        </w:numPr>
        <w:pStyle w:val="Compact"/>
      </w:pPr>
      <w:r>
        <w:t xml:space="preserve">Klient wybiera w Serwisie Ofertę, zapoznaje się z jej treścią i ceną, akceptuje Regulamin i składa zamówienie z obowiązkiem zapłaty. Umowa sprzedaży pakietu zostaje zawarta z chwilą złożenia zamówienia.</w:t>
      </w:r>
    </w:p>
    <w:p>
      <w:pPr>
        <w:numPr>
          <w:ilvl w:val="0"/>
          <w:numId w:val="1006"/>
        </w:numPr>
        <w:pStyle w:val="Compact"/>
      </w:pPr>
      <w:r>
        <w:t xml:space="preserve">Przed złożeniem zamówienia Serwis wyświetla nazwę pakietu, liczbę Analiz, okres ich ważności, cenę netto, kwotę VAT i cenę brutto w złotych polskich. Ceny w Serwisie są cenami brutto, chyba że wyraźnie oznaczono inaczej. Nie występują koszty dostawy.</w:t>
      </w:r>
    </w:p>
    <w:p>
      <w:pPr>
        <w:numPr>
          <w:ilvl w:val="0"/>
          <w:numId w:val="1006"/>
        </w:numPr>
        <w:pStyle w:val="Compact"/>
      </w:pPr>
      <w:r>
        <w:t xml:space="preserve">Treść zamówienia, cena i wersja Regulaminu obowiązująca w chwili zamówienia są utrwalane w Koncie. Potwierdzenie zamówienia Klient otrzymuje e-mailem.</w:t>
      </w:r>
    </w:p>
    <w:bookmarkEnd w:id="25"/>
    <w:bookmarkStart w:id="26" w:name="płatności"/>
    <w:p>
      <w:pPr>
        <w:pStyle w:val="Heading1"/>
      </w:pPr>
      <w:r>
        <w:t xml:space="preserve">§ 7. Płatności</w:t>
      </w:r>
    </w:p>
    <w:p>
      <w:pPr>
        <w:numPr>
          <w:ilvl w:val="0"/>
          <w:numId w:val="1007"/>
        </w:numPr>
        <w:pStyle w:val="Compact"/>
      </w:pPr>
      <w:r>
        <w:t xml:space="preserve">Za pakiet można zapłacić:</w:t>
      </w:r>
    </w:p>
    <w:p>
      <w:pPr>
        <w:numPr>
          <w:ilvl w:val="1"/>
          <w:numId w:val="1008"/>
        </w:numPr>
        <w:pStyle w:val="Compact"/>
      </w:pPr>
      <w:r>
        <w:rPr>
          <w:bCs/>
          <w:b/>
        </w:rPr>
        <w:t xml:space="preserve">online za pośrednictwem Przelewy24</w:t>
      </w:r>
      <w:r>
        <w:t xml:space="preserve"> </w:t>
      </w:r>
      <w:r>
        <w:t xml:space="preserve">– szybkim przelewem, BLIK-iem lub kartą płatniczą, w zakresie metod udostępnianych przez operatora w chwili płatności;</w:t>
      </w:r>
    </w:p>
    <w:p>
      <w:pPr>
        <w:numPr>
          <w:ilvl w:val="1"/>
          <w:numId w:val="1008"/>
        </w:numPr>
        <w:pStyle w:val="Compact"/>
      </w:pPr>
      <w:r>
        <w:rPr>
          <w:bCs/>
          <w:b/>
        </w:rPr>
        <w:t xml:space="preserve">przelewem tradycyjnym na podstawie faktury proforma</w:t>
      </w:r>
      <w:r>
        <w:t xml:space="preserve"> </w:t>
      </w:r>
      <w:r>
        <w:t xml:space="preserve">wystawionej po złożeniu zamówienia, w terminie wskazanym na fakturze proforma.</w:t>
      </w:r>
    </w:p>
    <w:p>
      <w:pPr>
        <w:numPr>
          <w:ilvl w:val="0"/>
          <w:numId w:val="1007"/>
        </w:numPr>
        <w:pStyle w:val="Compact"/>
      </w:pPr>
      <w:r>
        <w:t xml:space="preserve">Operatorem płatności online jest PayPro S.A. z siedzibą w Poznaniu, ul. Pastelowa 8, 60-198 Poznań, KRS 0000347935, NIP 7792369887, REGON 301345068. Podmiotem świadczącym obsługę płatności online w zakresie kart płatniczych jest PayPro S.A. Agent Rozliczeniowy, ul. Pastelowa 8, 60-198 Poznań, wpisana do rejestru przedsiębiorców KRS pod numerem 0000347935, NIP 7792369887, REGON 301345068.</w:t>
      </w:r>
    </w:p>
    <w:p>
      <w:pPr>
        <w:numPr>
          <w:ilvl w:val="0"/>
          <w:numId w:val="1007"/>
        </w:numPr>
        <w:pStyle w:val="Compact"/>
      </w:pPr>
      <w:r>
        <w:t xml:space="preserve">Płatność uznaje się za dokonaną z chwilą potwierdzenia jej przez operatora płatności (płatność online) albo z chwilą uznania rachunku bankowego Usługodawcy (przelew tradycyjny). Sam powrót ze strony operatora do Serwisu nie jest potwierdzeniem płatności.</w:t>
      </w:r>
    </w:p>
    <w:p>
      <w:pPr>
        <w:numPr>
          <w:ilvl w:val="0"/>
          <w:numId w:val="1007"/>
        </w:numPr>
        <w:pStyle w:val="Compact"/>
      </w:pPr>
      <w:r>
        <w:t xml:space="preserve">Po zaksięgowaniu płatności Usługodawca wystawia fakturę VAT i przesyła ją na adres e-mail Klienta oraz – jeżeli wymagają tego przepisy – za pośrednictwem Krajowego Systemu e-Faktur (KSeF). Klient odpowiada za poprawność danych do faktury.</w:t>
      </w:r>
    </w:p>
    <w:p>
      <w:pPr>
        <w:numPr>
          <w:ilvl w:val="0"/>
          <w:numId w:val="1007"/>
        </w:numPr>
        <w:pStyle w:val="Compact"/>
      </w:pPr>
      <w:r>
        <w:t xml:space="preserve">Usługodawca nie stosuje automatycznych obciążeń cyklicznych. Pakiety abonamentowe, jeśli zostaną udostępnione w Ofercie, są opłacane z góry za każdy okres rozliczeniowy.</w:t>
      </w:r>
    </w:p>
    <w:bookmarkEnd w:id="26"/>
    <w:bookmarkStart w:id="27" w:name="termin-realizacji-i-analizy"/>
    <w:p>
      <w:pPr>
        <w:pStyle w:val="Heading1"/>
      </w:pPr>
      <w:r>
        <w:t xml:space="preserve">§ 8. Termin realizacji i Analizy</w:t>
      </w:r>
    </w:p>
    <w:p>
      <w:pPr>
        <w:numPr>
          <w:ilvl w:val="0"/>
          <w:numId w:val="1009"/>
        </w:numPr>
        <w:pStyle w:val="Compact"/>
      </w:pPr>
      <w:r>
        <w:t xml:space="preserve">Analizy z opłaconego pakietu są przyznawane w Koncie niezwłocznie po potwierdzeniu płatności – przy płatności online zwykle w ciągu kilku minut, przy przelewie tradycyjnym nie później niż w ciągu 2 dni roboczych od uznania rachunku Usługodawcy. Pakiet FREE jest aktywowany po pozytywnej weryfikacji firmy.</w:t>
      </w:r>
    </w:p>
    <w:p>
      <w:pPr>
        <w:numPr>
          <w:ilvl w:val="0"/>
          <w:numId w:val="1009"/>
        </w:numPr>
        <w:pStyle w:val="Compact"/>
      </w:pPr>
      <w:r>
        <w:t xml:space="preserve">Analiza jest zużywana z chwilą zakończenia analizy dokumentów Kandydata. Nie zużywa Analizy samo otwarcie lub odświeżenie wyniku ani analiza przerwana z przyczyn leżących po stronie Usługodawcy.</w:t>
      </w:r>
    </w:p>
    <w:p>
      <w:pPr>
        <w:numPr>
          <w:ilvl w:val="0"/>
          <w:numId w:val="1009"/>
        </w:numPr>
        <w:pStyle w:val="Compact"/>
      </w:pPr>
      <w:r>
        <w:t xml:space="preserve">Analizy są ważne przez 3 miesiące od dnia ich przyznania. W przypadku pakietów abonamentowych Analizy niewykorzystane w danym okresie rozliczeniowym przechodzą na kolejne okresy, przy czym zawsze w pierwszej kolejności zużywane są Analizy przyznane najwcześniej. Analizy niewykorzystane w ciągu 3 miesięcy od dnia ich przyznania wygasają i nie podlegają zwrotowi, z zastrzeżeniem § 10 i § 11.</w:t>
      </w:r>
    </w:p>
    <w:p>
      <w:pPr>
        <w:numPr>
          <w:ilvl w:val="0"/>
          <w:numId w:val="1009"/>
        </w:numPr>
        <w:pStyle w:val="Compact"/>
      </w:pPr>
      <w:r>
        <w:t xml:space="preserve">Wynik każdej Analizy jest dostępny w Koncie w trakcie obowiązywania umowy o prowadzenie Konta, z zastrzeżeniem usunięcia danych na polecenie Klienta zgodnie z Umową powierzenia.</w:t>
      </w:r>
    </w:p>
    <w:bookmarkEnd w:id="27"/>
    <w:bookmarkStart w:id="28" w:name="dane-kandydatów-i-nadzór-człowieka"/>
    <w:p>
      <w:pPr>
        <w:pStyle w:val="Heading1"/>
      </w:pPr>
      <w:r>
        <w:t xml:space="preserve">§ 9. Dane Kandydatów i nadzór człowieka</w:t>
      </w:r>
    </w:p>
    <w:p>
      <w:pPr>
        <w:numPr>
          <w:ilvl w:val="0"/>
          <w:numId w:val="1010"/>
        </w:numPr>
        <w:pStyle w:val="Compact"/>
      </w:pPr>
      <w:r>
        <w:t xml:space="preserve">W zakresie danych Kandydatów Klient jest administratorem danych, a Usługodawca podmiotem przetwarzającym na podstawie Umowy powierzenia (Załącznik nr 1). Klient odpowiada za podstawę prawną przetwarzania i wykonanie obowiązków informacyjnych wobec Kandydatów.</w:t>
      </w:r>
    </w:p>
    <w:p>
      <w:pPr>
        <w:numPr>
          <w:ilvl w:val="0"/>
          <w:numId w:val="1010"/>
        </w:numPr>
        <w:pStyle w:val="Compact"/>
      </w:pPr>
      <w:r>
        <w:t xml:space="preserve">Klient nie wprowadza do Serwisu danych nadmiarowych ani danych szczególnych kategorii (np. o zdrowiu), chyba że posiada do tego podstawę prawną.</w:t>
      </w:r>
    </w:p>
    <w:p>
      <w:pPr>
        <w:numPr>
          <w:ilvl w:val="0"/>
          <w:numId w:val="1010"/>
        </w:numPr>
        <w:pStyle w:val="Compact"/>
      </w:pPr>
      <w:r>
        <w:t xml:space="preserve">Wyniki AI mają charakter pomocniczy i mogą być niepełne lub błędne. Decyzję o zaproszeniu, odrzuceniu lub zatrudnieniu Kandydata podejmuje człowiek po stronie Klienta. Brak informacji w CV nie oznacza braku kompetencji. Szczegóły opisuje informacja „AI i nadzór człowieka” dostępna w Serwisie.</w:t>
      </w:r>
    </w:p>
    <w:bookmarkEnd w:id="28"/>
    <w:bookmarkStart w:id="29" w:name="reklamacje"/>
    <w:p>
      <w:pPr>
        <w:pStyle w:val="Heading1"/>
      </w:pPr>
      <w:r>
        <w:t xml:space="preserve">§ 10. Reklamacje</w:t>
      </w:r>
    </w:p>
    <w:p>
      <w:pPr>
        <w:numPr>
          <w:ilvl w:val="0"/>
          <w:numId w:val="1011"/>
        </w:numPr>
        <w:pStyle w:val="Compact"/>
      </w:pPr>
      <w:r>
        <w:t xml:space="preserve">Reklamacje dotyczące Konta, działania Serwisu, Analiz, płatności lub faktur można składać e-mailem na adres pomoc@skillcheck.pl lub telefonicznie pod numerem +48 730 266 909. Reklamacja powinna zawierać nazwę Klienta, numer zamówienia (jeśli dotyczy), opis problemu i oczekiwany sposób rozwiązania. Prosimy nie przesyłać w reklamacji treści CV.</w:t>
      </w:r>
    </w:p>
    <w:p>
      <w:pPr>
        <w:numPr>
          <w:ilvl w:val="0"/>
          <w:numId w:val="1011"/>
        </w:numPr>
        <w:pStyle w:val="Compact"/>
      </w:pPr>
      <w:r>
        <w:t xml:space="preserve">Usługodawca rozpatruje reklamację w terminie 14 dni od jej otrzymania i przesyła odpowiedź na adres e-mail, z którego ją złożono. Jeżeli do rozpatrzenia potrzebne są dodatkowe informacje, Usługodawca prosi o nie niezwłocznie.</w:t>
      </w:r>
    </w:p>
    <w:p>
      <w:pPr>
        <w:numPr>
          <w:ilvl w:val="0"/>
          <w:numId w:val="1011"/>
        </w:numPr>
        <w:pStyle w:val="Compact"/>
      </w:pPr>
      <w:r>
        <w:t xml:space="preserve">W przypadku uznania reklamacji Usługodawca, odpowiednio do sytuacji, usuwa błąd, ponownie wykonuje Analizę bez dodatkowej opłaty, przywraca zużyte Analizy, obniża cenę albo zwraca należność w części odpowiadającej usłudze niewykonanej lub wykonanej wadliwie.</w:t>
      </w:r>
    </w:p>
    <w:p>
      <w:pPr>
        <w:numPr>
          <w:ilvl w:val="0"/>
          <w:numId w:val="1011"/>
        </w:numPr>
        <w:pStyle w:val="Compact"/>
      </w:pPr>
      <w:r>
        <w:t xml:space="preserve">Przedsiębiorcy na prawach konsumenta przysługują ponadto uprawnienia z tytułu niezgodności usługi cyfrowej z umową przewidziane w ustawie o prawach konsumenta.</w:t>
      </w:r>
    </w:p>
    <w:bookmarkEnd w:id="29"/>
    <w:bookmarkStart w:id="30" w:name="odstąpienie-od-umowy-i-zwroty"/>
    <w:p>
      <w:pPr>
        <w:pStyle w:val="Heading1"/>
      </w:pPr>
      <w:r>
        <w:t xml:space="preserve">§ 11. Odstąpienie od umowy i zwroty</w:t>
      </w:r>
    </w:p>
    <w:p>
      <w:pPr>
        <w:numPr>
          <w:ilvl w:val="0"/>
          <w:numId w:val="1012"/>
        </w:numPr>
        <w:pStyle w:val="Compact"/>
      </w:pPr>
      <w:r>
        <w:t xml:space="preserve">Prawo odstąpienia od umowy zawartej na odległość przysługuje wyłącznie Przedsiębiorcy na prawach konsumenta. Może on odstąpić od umowy w terminie 14 dni od jej zawarcia bez podania przyczyny, składając oświadczenie np. na formularzu stanowiącym Załącznik nr 2, wysłanym na pomoc@skillcheck.pl.</w:t>
      </w:r>
    </w:p>
    <w:p>
      <w:pPr>
        <w:numPr>
          <w:ilvl w:val="0"/>
          <w:numId w:val="1012"/>
        </w:numPr>
        <w:pStyle w:val="Compact"/>
      </w:pPr>
      <w:r>
        <w:t xml:space="preserve">Jeżeli Przedsiębiorca na prawach konsumenta wyraźnie zażądał rozpoczęcia świadczenia przed upływem terminu do odstąpienia i przyjął do wiadomości, że po pełnym wykonaniu usługi utraci prawo odstąpienia, prawo to wygasa z chwilą wykorzystania wszystkich Analiz z pakietu. W razie odstąpienia po rozpoczęciu świadczenia Klient płaci za Analizy wykorzystane do chwili odstąpienia, proporcjonalnie do ceny pakietu.</w:t>
      </w:r>
    </w:p>
    <w:p>
      <w:pPr>
        <w:numPr>
          <w:ilvl w:val="0"/>
          <w:numId w:val="1012"/>
        </w:numPr>
        <w:pStyle w:val="Compact"/>
      </w:pPr>
      <w:r>
        <w:t xml:space="preserve">Usługodawca zwraca należność niezwłocznie, nie później niż w terminie 14 dni od otrzymania oświadczenia o odstąpieniu lub uznania reklamacji, przy użyciu takiej samej metody płatności, jakiej użył Klient, chyba że Klient zgodzi się na inną metodę. Zwrot dokumentuje się fakturą korygującą.</w:t>
      </w:r>
    </w:p>
    <w:p>
      <w:pPr>
        <w:numPr>
          <w:ilvl w:val="0"/>
          <w:numId w:val="1012"/>
        </w:numPr>
        <w:pStyle w:val="Compact"/>
      </w:pPr>
      <w:r>
        <w:t xml:space="preserve">Poza przypadkami opisanymi w § 10 i § 11 opłata za pakiet nie podlega zwrotowi.</w:t>
      </w:r>
    </w:p>
    <w:bookmarkEnd w:id="30"/>
    <w:bookmarkStart w:id="31" w:name="odpowiedzialność"/>
    <w:p>
      <w:pPr>
        <w:pStyle w:val="Heading1"/>
      </w:pPr>
      <w:r>
        <w:t xml:space="preserve">§ 12. Odpowiedzialność</w:t>
      </w:r>
    </w:p>
    <w:p>
      <w:pPr>
        <w:numPr>
          <w:ilvl w:val="0"/>
          <w:numId w:val="1013"/>
        </w:numPr>
        <w:pStyle w:val="Compact"/>
      </w:pPr>
      <w:r>
        <w:t xml:space="preserve">Usługodawca odpowiada za należyte świadczenie usług zgodnie z Regulaminem i Ofertą. Usługodawca nie gwarantuje zatrudnienia odpowiedniego Kandydata ani określonego rezultatu biznesowego.</w:t>
      </w:r>
    </w:p>
    <w:p>
      <w:pPr>
        <w:numPr>
          <w:ilvl w:val="0"/>
          <w:numId w:val="1013"/>
        </w:numPr>
        <w:pStyle w:val="Compact"/>
      </w:pPr>
      <w:r>
        <w:t xml:space="preserve">W relacjach z Klientami niebędącymi Przedsiębiorcami na prawach konsumenta odpowiedzialność Usługodawcy jest ograniczona do szkody rzeczywistej i do kwoty wynagrodzenia zapłaconego przez Klienta w okresie 12 miesięcy przed zdarzeniem wywołującym szkodę. Ograniczenie nie dotyczy szkód wyrządzonych umyślnie ani przypadków, w których ograniczenie odpowiedzialności jest niedopuszczalne z mocy prawa.</w:t>
      </w:r>
    </w:p>
    <w:p>
      <w:pPr>
        <w:numPr>
          <w:ilvl w:val="0"/>
          <w:numId w:val="1013"/>
        </w:numPr>
        <w:pStyle w:val="Compact"/>
      </w:pPr>
      <w:r>
        <w:t xml:space="preserve">Usługodawca może czasowo ograniczyć dostępność Serwisu w związku z pracami technicznymi lub zagrożeniem bezpieczeństwa, informując o tym w miarę możliwości z wyprzedzeniem.</w:t>
      </w:r>
    </w:p>
    <w:bookmarkEnd w:id="31"/>
    <w:bookmarkStart w:id="32" w:name="własność-intelektualna-i-poufność"/>
    <w:p>
      <w:pPr>
        <w:pStyle w:val="Heading1"/>
      </w:pPr>
      <w:r>
        <w:t xml:space="preserve">§ 13. Własność intelektualna i poufność</w:t>
      </w:r>
    </w:p>
    <w:p>
      <w:pPr>
        <w:numPr>
          <w:ilvl w:val="0"/>
          <w:numId w:val="1014"/>
        </w:numPr>
        <w:pStyle w:val="Compact"/>
      </w:pPr>
      <w:r>
        <w:t xml:space="preserve">Klient zachowuje prawa do wprowadzanych materiałów i zapewnia, że może z nich legalnie korzystać. Oprogramowanie, metody i oznaczenia SkillCheck należą do Usługodawcy lub jego licencjodawców; Klient otrzymuje prawo do korzystania z Serwisu w zakresie i okresie wynikającym z umowy.</w:t>
      </w:r>
    </w:p>
    <w:p>
      <w:pPr>
        <w:numPr>
          <w:ilvl w:val="0"/>
          <w:numId w:val="1014"/>
        </w:numPr>
        <w:pStyle w:val="Compact"/>
      </w:pPr>
      <w:r>
        <w:t xml:space="preserve">Usługodawca nie wykorzystuje danych Klienta ani Kandydatów do trenowania modeli AI.</w:t>
      </w:r>
    </w:p>
    <w:bookmarkEnd w:id="32"/>
    <w:bookmarkStart w:id="33" w:name="Xa3a630463f6b25b10397a5cec43f660eb9258b8"/>
    <w:p>
      <w:pPr>
        <w:pStyle w:val="Heading1"/>
      </w:pPr>
      <w:r>
        <w:t xml:space="preserve">§ 14. Zmiany Regulaminu i postanowienia końcowe</w:t>
      </w:r>
    </w:p>
    <w:p>
      <w:pPr>
        <w:numPr>
          <w:ilvl w:val="0"/>
          <w:numId w:val="1015"/>
        </w:numPr>
        <w:pStyle w:val="Compact"/>
      </w:pPr>
      <w:r>
        <w:t xml:space="preserve">Usługodawca może zmienić Regulamin z ważnych przyczyn (zmiana przepisów, zmiana zakresu usług, względy bezpieczeństwa). O zmianie Klient zostanie poinformowany e-mailem i w Serwisie co najmniej 14 dni przed jej wejściem w życie. Zmiany nie dotyczą zamówień złożonych przed ich wejściem w życie. Klient, który nie akceptuje zmian, może rozwiązać umowę o prowadzenie Konta przed ich wejściem w życie.</w:t>
      </w:r>
    </w:p>
    <w:p>
      <w:pPr>
        <w:numPr>
          <w:ilvl w:val="0"/>
          <w:numId w:val="1015"/>
        </w:numPr>
        <w:pStyle w:val="Compact"/>
      </w:pPr>
      <w:r>
        <w:t xml:space="preserve">W sprawach nieuregulowanych stosuje się prawo polskie. Spory z Klientami niebędącymi Przedsiębiorcami na prawach konsumenta rozstrzyga sąd właściwy dla siedziby Usługodawcy.</w:t>
      </w:r>
    </w:p>
    <w:p>
      <w:pPr>
        <w:numPr>
          <w:ilvl w:val="0"/>
          <w:numId w:val="1015"/>
        </w:numPr>
        <w:pStyle w:val="Compact"/>
      </w:pPr>
      <w:r>
        <w:t xml:space="preserve">Regulamin obowiązuje od 29.10.2026.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721">
    <w:nsid w:val="A99721"/>
    <w:multiLevelType w:val="multilevel"/>
    <w:lvl w:ilvl="0">
      <w:start w:val="1"/>
      <w:numFmt w:val="lowerLetter"/>
      <w:lvlText w:val="%1)"/>
      <w:lvlJc w:val="left"/>
      <w:pPr>
        <w:ind w:left="720" w:hanging="480"/>
      </w:pPr>
    </w:lvl>
    <w:lvl w:ilvl="1">
      <w:start w:val="1"/>
      <w:numFmt w:val="lowerLetter"/>
      <w:lvlText w:val="%2)"/>
      <w:lvlJc w:val="left"/>
      <w:pPr>
        <w:ind w:left="1440" w:hanging="480"/>
      </w:pPr>
    </w:lvl>
    <w:lvl w:ilvl="2">
      <w:start w:val="1"/>
      <w:numFmt w:val="lowerLetter"/>
      <w:lvlText w:val="%3)"/>
      <w:lvlJc w:val="left"/>
      <w:pPr>
        <w:ind w:left="2160" w:hanging="480"/>
      </w:pPr>
    </w:lvl>
    <w:lvl w:ilvl="3">
      <w:start w:val="1"/>
      <w:numFmt w:val="lowerLetter"/>
      <w:lvlText w:val="%4)"/>
      <w:lvlJc w:val="left"/>
      <w:pPr>
        <w:ind w:left="2880" w:hanging="480"/>
      </w:pPr>
    </w:lvl>
    <w:lvl w:ilvl="4">
      <w:start w:val="1"/>
      <w:numFmt w:val="lowerLetter"/>
      <w:lvlText w:val="%5)"/>
      <w:lvlJc w:val="left"/>
      <w:pPr>
        <w:ind w:left="3600" w:hanging="480"/>
      </w:pPr>
    </w:lvl>
    <w:lvl w:ilvl="5">
      <w:start w:val="1"/>
      <w:numFmt w:val="lowerLetter"/>
      <w:lvlText w:val="%6)"/>
      <w:lvlJc w:val="left"/>
      <w:pPr>
        <w:ind w:left="4320" w:hanging="480"/>
      </w:pPr>
    </w:lvl>
    <w:lvl w:ilvl="6">
      <w:start w:val="1"/>
      <w:numFmt w:val="lowerLetter"/>
      <w:lvlText w:val="%7)"/>
      <w:lvlJc w:val="left"/>
      <w:pPr>
        <w:ind w:left="5040" w:hanging="480"/>
      </w:pPr>
    </w:lvl>
    <w:lvl w:ilvl="7">
      <w:start w:val="1"/>
      <w:numFmt w:val="lowerLetter"/>
      <w:lvlText w:val="%8)"/>
      <w:lvlJc w:val="left"/>
      <w:pPr>
        <w:ind w:left="5760" w:hanging="480"/>
      </w:pPr>
    </w:lvl>
    <w:lvl w:ilvl="8">
      <w:start w:val="1"/>
      <w:numFmt w:val="lowerLetter"/>
      <w:lvlText w:val="%9)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świadczenia usług SkillCheck</dc:title>
  <dc:creator/>
  <cp:keywords/>
  <dcterms:created xsi:type="dcterms:W3CDTF">2026-10-28T17:36:17Z</dcterms:created>
  <dcterms:modified xsi:type="dcterms:W3CDTF">2026-10-28T17:36:17Z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